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  <w:gridCol w:w="300"/>
      </w:tblGrid>
      <w:tr w:rsidR="00713021" w:rsidTr="00713021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713021" w:rsidRDefault="00713021" w:rsidP="00713021">
            <w:pPr>
              <w:pStyle w:val="a3"/>
              <w:spacing w:before="0" w:beforeAutospacing="0" w:after="0" w:afterAutospacing="0"/>
              <w:jc w:val="right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г</w:t>
            </w:r>
            <w:proofErr w:type="gram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.П</w:t>
            </w:r>
            <w:proofErr w:type="gram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етрозаводск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>6 февраля 2015 года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283555"/>
                <w:sz w:val="20"/>
                <w:szCs w:val="20"/>
              </w:rPr>
              <w:t>Председательствовал: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 Председатель Государственного комитета Республики Карелия по развитию информационно-коммуникационных технологий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>Никифоров Дмитрий Алексеевич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283555"/>
                <w:sz w:val="20"/>
                <w:szCs w:val="20"/>
              </w:rPr>
              <w:t>Присутствовали: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>Члены комиссии: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 xml:space="preserve">Анненков М.В.,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Баскин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В.А., Галактионов Э.И., Жданович С.А., Крижановский А.А.,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Кулабухов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С.А., Никифоров Д.А., Никифорова Л.А., Репина О.Е.,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Рузанова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Н.С., Свинкина М.Л.,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Себин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А.Н., Чеканов А.Н., Шумилова Н.П., Яровая Н.М.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>Приглашенные: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Брусуев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А.С., Волков А.В., Кислов Д.С.,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Красиченок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М.М.,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Коннов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П.Г., Кудряшова С.М., Лобачева И.С., Назаренко В.В., Николин М.И., Петухова С.А.,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Поленок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В.И., Полякова Т.Н.,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Риммер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Л.А.,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Сивин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И.А., Тимофеева Н.М.,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Томчик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А.М.,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Учуваткина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М.И., Харина Т.Н., Харитонов С.С., Шумейко Т.Н.</w:t>
            </w:r>
            <w:proofErr w:type="gramEnd"/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</w:p>
          <w:p w:rsidR="00713021" w:rsidRDefault="00713021" w:rsidP="00713021">
            <w:pPr>
              <w:pStyle w:val="a3"/>
              <w:spacing w:before="0" w:beforeAutospacing="0" w:after="0" w:afterAutospacing="0"/>
              <w:jc w:val="center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283555"/>
                <w:sz w:val="20"/>
                <w:szCs w:val="20"/>
              </w:rPr>
              <w:t xml:space="preserve">I. О рассмотрении </w:t>
            </w:r>
            <w:proofErr w:type="gramStart"/>
            <w:r>
              <w:rPr>
                <w:rFonts w:ascii="Arial CYR" w:hAnsi="Arial CYR" w:cs="Arial CYR"/>
                <w:b/>
                <w:bCs/>
                <w:color w:val="283555"/>
                <w:sz w:val="20"/>
                <w:szCs w:val="20"/>
              </w:rPr>
              <w:t>плана-графика закрытия офисов приема-выдачи документов Управления</w:t>
            </w:r>
            <w:proofErr w:type="gramEnd"/>
            <w:r>
              <w:rPr>
                <w:rFonts w:ascii="Arial CYR" w:hAnsi="Arial CYR" w:cs="Arial CYR"/>
                <w:b/>
                <w:bCs/>
                <w:color w:val="28355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color w:val="283555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Arial CYR" w:hAnsi="Arial CYR" w:cs="Arial CYR"/>
                <w:b/>
                <w:bCs/>
                <w:color w:val="283555"/>
                <w:sz w:val="20"/>
                <w:szCs w:val="20"/>
              </w:rPr>
              <w:t xml:space="preserve"> по Республике Карелия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>(Полякова, Никифоров)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1. Информацию заместителя руководителя Управления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по Республике Карелия принять к сведению (Т.Н. Полякова) по данному вопросу.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2. Информацию председателя Государственного комитета Республики Карелия по развитию информационно-коммуникационных технологий принять к сведению (Д.Н. Никифоров) по данному вопросу.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1. Одобрить прилагаемые планы-графики </w:t>
            </w:r>
            <w:proofErr w:type="gram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закрытия офисов приема-выдачи документов Управления Федеральной службы государственной</w:t>
            </w:r>
            <w:proofErr w:type="gram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регистрации, кадастра и картографии по Республике Карелия и Филиала ФГБУ «ФКП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» по Республике Карелия (</w:t>
            </w:r>
            <w:hyperlink r:id="rId6" w:history="1">
              <w:r>
                <w:rPr>
                  <w:rStyle w:val="a4"/>
                  <w:rFonts w:ascii="Arial CYR" w:hAnsi="Arial CYR" w:cs="Arial CYR"/>
                  <w:color w:val="105198"/>
                  <w:sz w:val="20"/>
                  <w:szCs w:val="20"/>
                  <w:u w:val="none"/>
                </w:rPr>
                <w:t>Приложение 1, 2</w:t>
              </w:r>
            </w:hyperlink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).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Государственному комитету Республики Карелия по развитию информационно-коммуникационных технологий, Управлению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по Республике Карелия и Государственному бюджетному учреждению Республики Карелия «Многофункциональный центр предоставления государственных и муниципальных услуг Республики Карелия» в срок до 15 марта 2015 года проработать вопрос об организации предоставления государственных и муниципальных услуг по принципу “одного окна” на территории муниципальных районов, указанных в планах-графиках закрытия офисов приема-выдачи документов Управления</w:t>
            </w:r>
            <w:proofErr w:type="gram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Федеральной службы государственной регистрации, кадастра и картографии по Республике Карелия и Филиала ФГБУ «ФКП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» по Республике Карелия.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</w:p>
          <w:p w:rsidR="00713021" w:rsidRDefault="00713021" w:rsidP="00713021">
            <w:pPr>
              <w:pStyle w:val="a3"/>
              <w:spacing w:before="0" w:beforeAutospacing="0" w:after="0" w:afterAutospacing="0"/>
              <w:jc w:val="center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283555"/>
                <w:sz w:val="20"/>
                <w:szCs w:val="20"/>
              </w:rPr>
              <w:t>II. Об одобрении Примерного сводного перечня муниципальных и государственных услуг, предоставляемых органами местного самоуправления в Республики Карелия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>(Петухова)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1. Принять к сведению информацию Министерства экономического развития Республики Карелия (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С.А.Петухова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) по данному вопросу.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2. Одобрить Примерный сводный перечень муниципальных и государственных услуг, предоставляемых органами местного самоуправления в Республике Карелия, в части муниципальных услуг, предоставляемых органами местного самоуправления в Республике Карелия.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Министерству здравоохранения и социального развития Республики Карелия, Министерству образования Республики Карелия, Государственному комитету Республики Карелия по ценам и тарифам в срок до 1 марта 2015 года согласовать Примерный сводный перечень муниципальных и государственных услуг, предоставляемых органами местного самоуправления в Республике Карелия, в части наименований государственных услуг, предоставляемых органами местного самоуправления в Республике Карелия в рамках переданных полномочий.</w:t>
            </w:r>
            <w:proofErr w:type="gramEnd"/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4. Рекомендовать органам местного самоуправления в Республике Карелия: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>- в срок до 1 марта 2015 года привести перечни муниципальных услуг, предоставляемых органами местного самоуправления в Республике Карелия, в соответствие с Примерным сводным перечнем муниципальных и государственных услуг, предоставляемых органами местного самоуправления в Республике Карелия;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 xml:space="preserve">- </w:t>
            </w:r>
            <w:proofErr w:type="gram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в срок до 16 марта 2015 года привести перечни муниципальных услуг, предоставление которых организуется в многофункциональных центрах предоставления государственных и муниципальных услуг в Республике Карелия, в соответствие с Типовым (рекомендованным) 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lastRenderedPageBreak/>
              <w:t>перечнем муниципальных услуг, предоставление которых организуется в многофункциональных центрах предоставления государственных и муниципальных услуг в Республике Карелия, утвержденным распоряжением Правительства Республики Карелия от 21 августа 2012 года № 521р-П.</w:t>
            </w:r>
            <w:proofErr w:type="gram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Копию муниципального правового акта о внесении изменений и дополнений в перечень муниципальных услуг, предоставляемых в МФЦ, представить в Государственный комитет Республики Карелия по развитию информационно-коммуникационных технологий.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</w:p>
          <w:p w:rsidR="00713021" w:rsidRDefault="00713021" w:rsidP="00713021">
            <w:pPr>
              <w:pStyle w:val="a3"/>
              <w:spacing w:before="0" w:beforeAutospacing="0" w:after="0" w:afterAutospacing="0"/>
              <w:jc w:val="center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283555"/>
                <w:sz w:val="20"/>
                <w:szCs w:val="20"/>
              </w:rPr>
              <w:t>III. О ходе реализации Плана мероприятий («дорожной карты») по организации предоставления государственных и муниципальных услуг по принципу «одного окна» в Республике Карелия на 2014-2015 гг.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>(Никифоров)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1. Принять к сведению информацию Государственного комитета Республики Карелия по развитию информационно-коммуникационных технологий (Д.А. Никифоров) по данному вопросу.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2. Одобрить план-график внедрения предоставления государственных и муниципальных услуг по жизненным ситуациям в многофункциональных центрах в Республике Карелия в 2015 году (</w:t>
            </w:r>
            <w:hyperlink r:id="rId7" w:history="1">
              <w:r>
                <w:rPr>
                  <w:rStyle w:val="a4"/>
                  <w:rFonts w:ascii="Arial CYR" w:hAnsi="Arial CYR" w:cs="Arial CYR"/>
                  <w:color w:val="105198"/>
                  <w:sz w:val="20"/>
                  <w:szCs w:val="20"/>
                  <w:u w:val="none"/>
                </w:rPr>
                <w:t>Приложение 4</w:t>
              </w:r>
            </w:hyperlink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).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3. Членам Комиссии в срок до 12 февраля 2015 года направить предложения и замечания для включения в план-график внедрения предоставления государственных и муниципальных услуг по жизненным ситуациям в многофункциональных центрах в Республике Карелия в 2015 году.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4. Принять за основу схему предоставления (сводный перечень) государственных и муниципальных услуг по жизненным ситуациям в Республике Карелия (</w:t>
            </w:r>
            <w:hyperlink r:id="rId8" w:history="1">
              <w:r>
                <w:rPr>
                  <w:rStyle w:val="a4"/>
                  <w:rFonts w:ascii="Arial CYR" w:hAnsi="Arial CYR" w:cs="Arial CYR"/>
                  <w:color w:val="105198"/>
                  <w:sz w:val="20"/>
                  <w:szCs w:val="20"/>
                  <w:u w:val="none"/>
                </w:rPr>
                <w:t>Приложение 5</w:t>
              </w:r>
            </w:hyperlink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).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Рекомендовать администрациям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Кемского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Лоухского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Калевальского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, Муезерского, Сегежского, Медвежьегорского,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Пудожского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Лахденпохского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Питкярантского</w:t>
            </w:r>
            <w:proofErr w:type="spell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муниципальных районов проработать варианты аренды помещений, удовлетворяющих Правилам организации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 декабря 2012 года № 1376, и представить результаты в Государственный комитет Республики Карелия по развитию информационно-коммуникационных технологий в срок до 10 марта 2015 года.</w:t>
            </w:r>
            <w:proofErr w:type="gramEnd"/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283555"/>
                <w:sz w:val="20"/>
                <w:szCs w:val="20"/>
              </w:rPr>
              <w:t>IV. Разное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1. Утвердить изменения </w:t>
            </w:r>
            <w:proofErr w:type="gramStart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в состав рабочей группы по вопросу формирования региональной инфраструктуры пространственных данных на территории Республики Карелия при Комиссии по развитию</w:t>
            </w:r>
            <w:proofErr w:type="gramEnd"/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 xml:space="preserve"> информационного общества и формированию электронного правительства, по повышению качества и доступности государственных и муниципальных услуг в Республике Карелия (</w:t>
            </w:r>
            <w:hyperlink r:id="rId9" w:history="1">
              <w:r>
                <w:rPr>
                  <w:rStyle w:val="a4"/>
                  <w:rFonts w:ascii="Arial CYR" w:hAnsi="Arial CYR" w:cs="Arial CYR"/>
                  <w:color w:val="105198"/>
                  <w:sz w:val="20"/>
                  <w:szCs w:val="20"/>
                  <w:u w:val="none"/>
                </w:rPr>
                <w:t>Приложение 6</w:t>
              </w:r>
            </w:hyperlink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).</w:t>
            </w:r>
          </w:p>
          <w:p w:rsidR="00713021" w:rsidRDefault="00713021" w:rsidP="00713021">
            <w:pPr>
              <w:pStyle w:val="a3"/>
              <w:spacing w:before="0" w:beforeAutospacing="0" w:after="0" w:afterAutospacing="0"/>
              <w:jc w:val="right"/>
              <w:rPr>
                <w:rFonts w:ascii="Arial CYR" w:hAnsi="Arial CYR" w:cs="Arial CYR"/>
                <w:color w:val="283555"/>
                <w:sz w:val="20"/>
                <w:szCs w:val="20"/>
              </w:rPr>
            </w:pP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t>Заместитель Главы Республики Карелия –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>по развитию инфраструктуры</w:t>
            </w:r>
            <w:r>
              <w:rPr>
                <w:rFonts w:ascii="Arial CYR" w:hAnsi="Arial CYR" w:cs="Arial CYR"/>
                <w:color w:val="283555"/>
                <w:sz w:val="20"/>
                <w:szCs w:val="20"/>
              </w:rPr>
              <w:br/>
              <w:t>О.В. Тельнов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713021" w:rsidTr="00713021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713021" w:rsidRDefault="00713021" w:rsidP="00713021">
                  <w:pPr>
                    <w:spacing w:after="0"/>
                    <w:rPr>
                      <w:rFonts w:ascii="Arial CYR" w:hAnsi="Arial CYR" w:cs="Arial CYR"/>
                      <w:color w:val="28355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713021" w:rsidRDefault="00713021" w:rsidP="00713021">
                  <w:pPr>
                    <w:spacing w:after="0"/>
                    <w:jc w:val="right"/>
                    <w:rPr>
                      <w:rFonts w:ascii="Arial CYR" w:hAnsi="Arial CYR" w:cs="Arial CYR"/>
                      <w:color w:val="283555"/>
                      <w:sz w:val="18"/>
                      <w:szCs w:val="18"/>
                    </w:rPr>
                  </w:pPr>
                  <w:hyperlink r:id="rId10" w:history="1">
                    <w:r>
                      <w:rPr>
                        <w:rFonts w:ascii="Arial CYR" w:hAnsi="Arial CYR" w:cs="Arial CYR"/>
                        <w:color w:val="105198"/>
                        <w:sz w:val="18"/>
                        <w:szCs w:val="18"/>
                      </w:rPr>
                      <w:br/>
                    </w:r>
                  </w:hyperlink>
                </w:p>
              </w:tc>
            </w:tr>
          </w:tbl>
          <w:p w:rsidR="00713021" w:rsidRDefault="00713021" w:rsidP="00713021">
            <w:pPr>
              <w:spacing w:after="0"/>
              <w:rPr>
                <w:rFonts w:ascii="Arial CYR" w:hAnsi="Arial CYR" w:cs="Arial CYR"/>
                <w:color w:val="28355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021" w:rsidRDefault="00713021" w:rsidP="00713021">
            <w:pPr>
              <w:spacing w:after="0"/>
              <w:rPr>
                <w:rFonts w:ascii="Arial CYR" w:hAnsi="Arial CYR" w:cs="Arial CYR"/>
                <w:color w:val="283555"/>
                <w:sz w:val="18"/>
                <w:szCs w:val="18"/>
              </w:rPr>
            </w:pPr>
            <w:r>
              <w:rPr>
                <w:rFonts w:ascii="Arial CYR" w:hAnsi="Arial CYR" w:cs="Arial CYR"/>
                <w:noProof/>
                <w:color w:val="283555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52274A43" wp14:editId="4858D1DE">
                  <wp:extent cx="190500" cy="9525"/>
                  <wp:effectExtent l="0" t="0" r="0" b="0"/>
                  <wp:docPr id="1" name="Рисунок 1" descr="http://old.gov.karelia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d.gov.karelia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3021" w:rsidRPr="00713021" w:rsidRDefault="00713021" w:rsidP="00713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0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bookmarkEnd w:id="0"/>
    <w:p w:rsidR="006E5300" w:rsidRPr="00713021" w:rsidRDefault="006E5300" w:rsidP="00713021">
      <w:pPr>
        <w:spacing w:after="0"/>
      </w:pPr>
    </w:p>
    <w:sectPr w:rsidR="006E5300" w:rsidRPr="00713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0F3"/>
    <w:multiLevelType w:val="multilevel"/>
    <w:tmpl w:val="92CE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52B2A"/>
    <w:multiLevelType w:val="hybridMultilevel"/>
    <w:tmpl w:val="898A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13927"/>
    <w:multiLevelType w:val="multilevel"/>
    <w:tmpl w:val="BA40C6C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C394174"/>
    <w:multiLevelType w:val="multilevel"/>
    <w:tmpl w:val="91E0B09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8920758"/>
    <w:multiLevelType w:val="multilevel"/>
    <w:tmpl w:val="B1FE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A30AD"/>
    <w:multiLevelType w:val="multilevel"/>
    <w:tmpl w:val="4C5A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365CD5"/>
    <w:multiLevelType w:val="multilevel"/>
    <w:tmpl w:val="42FC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018EB"/>
    <w:multiLevelType w:val="multilevel"/>
    <w:tmpl w:val="6EEA77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8415023"/>
    <w:multiLevelType w:val="multilevel"/>
    <w:tmpl w:val="3C3C38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F710525"/>
    <w:multiLevelType w:val="multilevel"/>
    <w:tmpl w:val="FAD8C03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30"/>
    <w:rsid w:val="00435530"/>
    <w:rsid w:val="006E5300"/>
    <w:rsid w:val="00713021"/>
    <w:rsid w:val="00C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13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1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918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653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830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gov.karelia.ru/gov/Leader/Inform/Egov/150206d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ld.gov.karelia.ru/gov/Leader/Inform/Egov/150206c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gov.karelia.ru/gov/Leader/Inform/Egov/150206a.docx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obd-memori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.gov.karelia.ru/gov/Leader/Inform/Egov/150206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2</cp:revision>
  <dcterms:created xsi:type="dcterms:W3CDTF">2019-10-14T13:08:00Z</dcterms:created>
  <dcterms:modified xsi:type="dcterms:W3CDTF">2019-10-14T13:08:00Z</dcterms:modified>
</cp:coreProperties>
</file>