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7245F" w:rsidRPr="00A7245F" w:rsidTr="00A7245F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A7245F" w:rsidRPr="00A7245F" w:rsidRDefault="00A7245F" w:rsidP="00A7245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A7245F">
              <w:rPr>
                <w:rFonts w:ascii="Arial" w:eastAsia="Times New Roman" w:hAnsi="Arial" w:cs="Arial"/>
                <w:b/>
                <w:bCs/>
                <w:color w:val="10386E"/>
                <w:sz w:val="21"/>
                <w:szCs w:val="21"/>
                <w:lang w:eastAsia="ru-RU"/>
              </w:rPr>
              <w:t>Протокол № 1 заседания Комиссии по координации работы по противодействию коррупции в Республике Карелия</w:t>
            </w:r>
          </w:p>
        </w:tc>
      </w:tr>
    </w:tbl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i/>
          <w:iCs/>
          <w:color w:val="283555"/>
          <w:sz w:val="20"/>
          <w:szCs w:val="20"/>
          <w:lang w:eastAsia="ru-RU"/>
        </w:rPr>
        <w:t>г. Петрозаводск от 27 января 2016 года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u w:val="single"/>
          <w:lang w:eastAsia="ru-RU"/>
        </w:rPr>
        <w:t>Председательствовал: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Глава Республики Карелия </w:t>
      </w:r>
      <w:proofErr w:type="spellStart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Худилайнен</w:t>
      </w:r>
      <w:proofErr w:type="spellEnd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А.П.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u w:val="single"/>
          <w:lang w:eastAsia="ru-RU"/>
        </w:rPr>
        <w:t>Присутствовали: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члены Комиссии: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spellStart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Антонен</w:t>
      </w:r>
      <w:proofErr w:type="spellEnd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А.А., Баев В.Г., Бахилин А.Е., Галкин. В.А, Косарев Д.Б., </w:t>
      </w:r>
      <w:proofErr w:type="spellStart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Масалкин</w:t>
      </w:r>
      <w:proofErr w:type="spellEnd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В.А., Пряхин А.Б., Моисеев А.А., Серышев А.А., Сильченко Е.В., </w:t>
      </w:r>
      <w:proofErr w:type="spellStart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Скрыников</w:t>
      </w:r>
      <w:proofErr w:type="spellEnd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И.С., Тельнов О.В., Титов А.Ф., </w:t>
      </w:r>
      <w:proofErr w:type="spellStart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Хюннинен</w:t>
      </w:r>
      <w:proofErr w:type="spellEnd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А.В., Шахов В.С.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(Присутствовало 16 членов комиссии из 24).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приглашенные: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spellStart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Бакун</w:t>
      </w:r>
      <w:proofErr w:type="spellEnd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В.В., </w:t>
      </w:r>
      <w:proofErr w:type="spellStart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Бедоева</w:t>
      </w:r>
      <w:proofErr w:type="spellEnd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Н.В., Васько Д.В., Горшков Д.В., Гуляев Т.Н., Егоров Д.Л., Зайков В.Н., </w:t>
      </w:r>
      <w:proofErr w:type="spellStart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Игнатенкова</w:t>
      </w:r>
      <w:proofErr w:type="spellEnd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Е.В., Семенов В.Н.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u w:val="single"/>
          <w:lang w:eastAsia="ru-RU"/>
        </w:rPr>
        <w:t>Вопрос № 1</w:t>
      </w:r>
      <w:proofErr w:type="gramStart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 </w:t>
      </w: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:</w:t>
      </w:r>
      <w:proofErr w:type="gramEnd"/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 xml:space="preserve"> «Об организации контроля в сфере закупок и развитии контрактной системы в Республике Карелия в целях профилактики коррупционных и иных правонарушений».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u w:val="single"/>
          <w:lang w:eastAsia="ru-RU"/>
        </w:rPr>
        <w:t>Выступили:</w:t>
      </w:r>
    </w:p>
    <w:tbl>
      <w:tblPr>
        <w:tblW w:w="95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9"/>
        <w:gridCol w:w="292"/>
        <w:gridCol w:w="6539"/>
      </w:tblGrid>
      <w:tr w:rsidR="00A7245F" w:rsidRPr="00A7245F" w:rsidTr="00A7245F">
        <w:trPr>
          <w:tblCellSpacing w:w="0" w:type="dxa"/>
        </w:trPr>
        <w:tc>
          <w:tcPr>
            <w:tcW w:w="2595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proofErr w:type="spellStart"/>
            <w:r w:rsidRPr="00A7245F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Худилайнен</w:t>
            </w:r>
            <w:proofErr w:type="spellEnd"/>
          </w:p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Александр Петрович</w:t>
            </w:r>
          </w:p>
        </w:tc>
        <w:tc>
          <w:tcPr>
            <w:tcW w:w="150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95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Глава Республики Карелия - Председатель Комиссии по координации работы по противодействию коррупции в Республике Карелия</w:t>
            </w:r>
          </w:p>
        </w:tc>
      </w:tr>
      <w:tr w:rsidR="00A7245F" w:rsidRPr="00A7245F" w:rsidTr="00A7245F">
        <w:trPr>
          <w:tblCellSpacing w:w="0" w:type="dxa"/>
        </w:trPr>
        <w:tc>
          <w:tcPr>
            <w:tcW w:w="2595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proofErr w:type="spellStart"/>
            <w:r w:rsidRPr="00A7245F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Бедоева</w:t>
            </w:r>
            <w:proofErr w:type="spellEnd"/>
          </w:p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Наталья Валерьевна</w:t>
            </w:r>
          </w:p>
        </w:tc>
        <w:tc>
          <w:tcPr>
            <w:tcW w:w="150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95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заместитель Председателя Государственного контрольного комитета Республики Карелия</w:t>
            </w:r>
          </w:p>
        </w:tc>
      </w:tr>
      <w:tr w:rsidR="00A7245F" w:rsidRPr="00A7245F" w:rsidTr="00A7245F">
        <w:trPr>
          <w:tblCellSpacing w:w="0" w:type="dxa"/>
        </w:trPr>
        <w:tc>
          <w:tcPr>
            <w:tcW w:w="2595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proofErr w:type="spellStart"/>
            <w:r w:rsidRPr="00A7245F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Игнатенкова</w:t>
            </w:r>
            <w:proofErr w:type="spellEnd"/>
          </w:p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150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95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Заместитель Председателя Государственного комитета Республики Карелия по управлению государственным имуществом и организации закупок</w:t>
            </w:r>
          </w:p>
        </w:tc>
      </w:tr>
      <w:tr w:rsidR="00A7245F" w:rsidRPr="00A7245F" w:rsidTr="00A7245F">
        <w:trPr>
          <w:tblCellSpacing w:w="0" w:type="dxa"/>
        </w:trPr>
        <w:tc>
          <w:tcPr>
            <w:tcW w:w="2595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Пряхин</w:t>
            </w:r>
          </w:p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Артур Борисович</w:t>
            </w:r>
          </w:p>
        </w:tc>
        <w:tc>
          <w:tcPr>
            <w:tcW w:w="150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95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руководитель Управления Федеральной антимонопольной службы по Республике Карелия</w:t>
            </w:r>
          </w:p>
        </w:tc>
      </w:tr>
    </w:tbl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u w:val="single"/>
          <w:lang w:eastAsia="ru-RU"/>
        </w:rPr>
        <w:t>Решили</w:t>
      </w:r>
      <w:proofErr w:type="gramStart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 </w:t>
      </w: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:</w:t>
      </w:r>
      <w:proofErr w:type="gramEnd"/>
    </w:p>
    <w:p w:rsidR="00A7245F" w:rsidRPr="00A7245F" w:rsidRDefault="00A7245F" w:rsidP="00A7245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Государственному комитету Республики Карелия по управлению государственным имуществом и организации закупок</w:t>
      </w: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 </w:t>
      </w: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обеспечить принятие и реализацию нормативных правовых актов по централизации закупок в Республике Карелия.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Контроль: 01 июня 2016 года.</w:t>
      </w:r>
    </w:p>
    <w:p w:rsidR="00A7245F" w:rsidRPr="00A7245F" w:rsidRDefault="00A7245F" w:rsidP="00A7245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Принять меры по активизации работы по выявлению правонарушений коррупционной направленности в сфере закупок товаров, работ, услуг для государственных и муниципальных нужд.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lastRenderedPageBreak/>
        <w:t>Ответственные исполнители:</w:t>
      </w: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 МВД по Республике Карелия, УФСБ России по Республике </w:t>
      </w:r>
      <w:proofErr w:type="spellStart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Карелия</w:t>
      </w:r>
      <w:proofErr w:type="gramStart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,п</w:t>
      </w:r>
      <w:proofErr w:type="gramEnd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рокуратура</w:t>
      </w:r>
      <w:proofErr w:type="spellEnd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Республики Карелия, УФАС России по Республике Карелия, УФНС России по Республике Карелия, ТУ </w:t>
      </w:r>
      <w:proofErr w:type="spellStart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Росфиннадзора</w:t>
      </w:r>
      <w:proofErr w:type="spellEnd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 Республике Карелия, ТУ </w:t>
      </w:r>
      <w:proofErr w:type="spellStart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Росимущества</w:t>
      </w:r>
      <w:proofErr w:type="spellEnd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по Республике Карелия, Государственный комитет Республики Карелия по управлению государственным имуществом и организации закупок, Государственный контрольный комитет Республики Карелия.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Срок: 2016 год </w:t>
      </w: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(с ежеквартальным направлением информации в Государственный контрольный комитет Республики Карелия).</w:t>
      </w:r>
    </w:p>
    <w:p w:rsidR="00A7245F" w:rsidRPr="00A7245F" w:rsidRDefault="00A7245F" w:rsidP="00A7245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 соответствии с компетенцией контролирующим и правоохранительным органам Республики Карелия осуществить проверку расходования бюджетных средств, выделенных районам республики в 2015 году и на 2016 год, соблюдения законодательства в сфере закупок товаров, работ, услуг для обеспечения государственных и муниципальных нужд.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Срок: 2016 год </w:t>
      </w: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(с ежеквартальным направлением информации в Государственный контрольный комитет Республики Карелия, </w:t>
      </w: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 xml:space="preserve">до 5 числа месяца, следующего </w:t>
      </w:r>
      <w:proofErr w:type="gramStart"/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за</w:t>
      </w:r>
      <w:proofErr w:type="gramEnd"/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 xml:space="preserve"> отчетным</w:t>
      </w: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).</w:t>
      </w:r>
    </w:p>
    <w:p w:rsidR="00A7245F" w:rsidRPr="00A7245F" w:rsidRDefault="00A7245F" w:rsidP="00A7245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Поручить первому заместителю Главы Республики Карелия О.В. Тельнову принять меры по координации действий по реализации на территории Республики Карелия Стандарта развития конкуренции в субъектах Российской Федерации, утвержденного Распоряжением Правительства Российской Федерации от 05.09.2015 года №1738-р.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Об исполнении доложить на очередном заседании Правительства Республики Карелия.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Срок: 04 февраля 2016 года.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Ответственные исполнители: </w:t>
      </w: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Тельнов О.В., Министерство экономического развития Республики Карелия, Администрация Главы Республики Карелия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u w:val="single"/>
          <w:lang w:eastAsia="ru-RU"/>
        </w:rPr>
        <w:t>Вопрос №2:</w:t>
      </w: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 </w:t>
      </w: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«О состоянии законности в сфере земельных правоотношений в Республике Карелия»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u w:val="single"/>
          <w:lang w:eastAsia="ru-RU"/>
        </w:rPr>
        <w:t>Выступили:</w:t>
      </w:r>
    </w:p>
    <w:tbl>
      <w:tblPr>
        <w:tblW w:w="95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9"/>
        <w:gridCol w:w="292"/>
        <w:gridCol w:w="6539"/>
      </w:tblGrid>
      <w:tr w:rsidR="00A7245F" w:rsidRPr="00A7245F" w:rsidTr="00A7245F">
        <w:trPr>
          <w:tblCellSpacing w:w="0" w:type="dxa"/>
        </w:trPr>
        <w:tc>
          <w:tcPr>
            <w:tcW w:w="2595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proofErr w:type="spellStart"/>
            <w:r w:rsidRPr="00A7245F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Худилайнен</w:t>
            </w:r>
            <w:proofErr w:type="spellEnd"/>
          </w:p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Александр Петрович</w:t>
            </w:r>
          </w:p>
        </w:tc>
        <w:tc>
          <w:tcPr>
            <w:tcW w:w="150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95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Глава Республики Карелия - Председатель Комиссии по координации работы по противодействию коррупции в Республике Карелия</w:t>
            </w:r>
          </w:p>
        </w:tc>
      </w:tr>
      <w:tr w:rsidR="00A7245F" w:rsidRPr="00A7245F" w:rsidTr="00A7245F">
        <w:trPr>
          <w:tblCellSpacing w:w="0" w:type="dxa"/>
        </w:trPr>
        <w:tc>
          <w:tcPr>
            <w:tcW w:w="2595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Косарев</w:t>
            </w:r>
          </w:p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Денис Борисович</w:t>
            </w:r>
          </w:p>
        </w:tc>
        <w:tc>
          <w:tcPr>
            <w:tcW w:w="150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95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Председатель Государственного комитета Республики Карелия по управлению государственным имуществом и организации закупок</w:t>
            </w:r>
          </w:p>
        </w:tc>
      </w:tr>
      <w:tr w:rsidR="00A7245F" w:rsidRPr="00A7245F" w:rsidTr="00A7245F">
        <w:trPr>
          <w:tblCellSpacing w:w="0" w:type="dxa"/>
        </w:trPr>
        <w:tc>
          <w:tcPr>
            <w:tcW w:w="2595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Гуляев</w:t>
            </w:r>
          </w:p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Тимур Николаевич</w:t>
            </w:r>
          </w:p>
        </w:tc>
        <w:tc>
          <w:tcPr>
            <w:tcW w:w="150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95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начальник</w:t>
            </w:r>
            <w:r w:rsidRPr="00A7245F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 </w:t>
            </w: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Управления экономической безопасности и противодействия коррупции</w:t>
            </w:r>
            <w:r w:rsidRPr="00A7245F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 </w:t>
            </w: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МВД по Республике Карелия</w:t>
            </w:r>
          </w:p>
        </w:tc>
      </w:tr>
      <w:tr w:rsidR="00A7245F" w:rsidRPr="00A7245F" w:rsidTr="00A7245F">
        <w:trPr>
          <w:tblCellSpacing w:w="0" w:type="dxa"/>
        </w:trPr>
        <w:tc>
          <w:tcPr>
            <w:tcW w:w="2595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proofErr w:type="spellStart"/>
            <w:r w:rsidRPr="00A7245F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Бакун</w:t>
            </w:r>
            <w:proofErr w:type="spellEnd"/>
          </w:p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Валерий Васильевич</w:t>
            </w:r>
          </w:p>
        </w:tc>
        <w:tc>
          <w:tcPr>
            <w:tcW w:w="150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95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заместитель </w:t>
            </w:r>
            <w:proofErr w:type="gramStart"/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руководителя отдела процессуального контроля Следственного управления Следственного комитета Российской Федерации</w:t>
            </w:r>
            <w:proofErr w:type="gramEnd"/>
          </w:p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по Республике Карелия</w:t>
            </w:r>
          </w:p>
        </w:tc>
      </w:tr>
    </w:tbl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u w:val="single"/>
          <w:lang w:eastAsia="ru-RU"/>
        </w:rPr>
        <w:t>Решили</w:t>
      </w:r>
      <w:proofErr w:type="gramStart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 </w:t>
      </w: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:</w:t>
      </w:r>
      <w:proofErr w:type="gramEnd"/>
    </w:p>
    <w:p w:rsidR="00A7245F" w:rsidRPr="00A7245F" w:rsidRDefault="00A7245F" w:rsidP="00A7245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gramStart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Рекомендовать органам исполнительной власти Республики Карелия, органам местного самоуправления в Республике Карелия: при поступлении информации о возможном наличии коррупционных связей должностных лиц органов власти с </w:t>
      </w: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lastRenderedPageBreak/>
        <w:t>руководителями субъектов предпринимательской деятельности в Республике Карелия и иных регионах Российской Федерации, в том числе связанных с земельными отношениями, незамедлительно направлять информацию в МВД по Республике Карелия и прокуратуру Республики Карелия, Государственный контрольный комитет Республики</w:t>
      </w:r>
      <w:proofErr w:type="gramEnd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Карелия.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Срок: 2016 год </w:t>
      </w: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(с ежеквартальным направлением информации в Государственный контрольный комитет Республики Карелия).</w:t>
      </w:r>
    </w:p>
    <w:p w:rsidR="00A7245F" w:rsidRPr="00A7245F" w:rsidRDefault="00A7245F" w:rsidP="00A7245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Государственному комитету Республики Карелия по управлению государственным имуществом и организации закупок обеспечить</w:t>
      </w: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 </w:t>
      </w: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реализацию закона Республики Карелия от 29 декабря 2015 года № 1980-ЗРК «О перераспределении полномочий по распоряжению земельными участками, государственная собственность на которые не разграничена, между органами местного самоуправления муниципальных образований в Республике Карелия и органами государственной власти Республики Карелия».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Срок: 2016 год.</w:t>
      </w:r>
    </w:p>
    <w:p w:rsidR="00A7245F" w:rsidRPr="00A7245F" w:rsidRDefault="00A7245F" w:rsidP="00A7245F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Государственному комитету Республики Карелия по управлению государственным имуществом и организации закупок подготовить и направить в Правительство Республики Карелия предложения по созданию единой информационной системы, содержащей сведения о земельных участках на территории Республики Карелия.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Срок: 01 марта 2016 года.</w:t>
      </w:r>
    </w:p>
    <w:p w:rsidR="00A7245F" w:rsidRPr="00A7245F" w:rsidRDefault="00A7245F" w:rsidP="00A7245F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Продолжить работу по выявлению правонарушений и расследованию уголовных дел о преступлениях коррупционной и экономической направленности в сфере земельных правоотношений. Особое внимание уделить вопросам профилактики и возмещения ущерба по делам указанной категории преступлений.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Ответственные исполнители:</w:t>
      </w: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 МВД по Республике Карелия, УФСБ России по Республике Карелия, СУ СК России по Республике Карелия, прокуратура Республики Карелия, УФАС России по Республике Карелия, ТУ </w:t>
      </w:r>
      <w:proofErr w:type="spellStart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Росимущества</w:t>
      </w:r>
      <w:proofErr w:type="spellEnd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по Республике Карелия, Государственный контрольный комитет Республики Карелия.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Срок: 2016 год </w:t>
      </w: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(с ежеквартальным направлением информации в Государственный контрольный комитет Республики Карелия, </w:t>
      </w: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 xml:space="preserve">до 5 числа месяца, следующего </w:t>
      </w:r>
      <w:proofErr w:type="gramStart"/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за</w:t>
      </w:r>
      <w:proofErr w:type="gramEnd"/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 xml:space="preserve"> отчетным</w:t>
      </w: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).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u w:val="single"/>
          <w:lang w:eastAsia="ru-RU"/>
        </w:rPr>
        <w:t>Вопрос №3: </w:t>
      </w: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«Утверждение плана работы Комиссии на 2016 год».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u w:val="single"/>
          <w:lang w:eastAsia="ru-RU"/>
        </w:rPr>
        <w:t>Выступили:</w:t>
      </w:r>
    </w:p>
    <w:tbl>
      <w:tblPr>
        <w:tblW w:w="95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9"/>
        <w:gridCol w:w="292"/>
        <w:gridCol w:w="6539"/>
      </w:tblGrid>
      <w:tr w:rsidR="00A7245F" w:rsidRPr="00A7245F" w:rsidTr="00A7245F">
        <w:trPr>
          <w:tblCellSpacing w:w="0" w:type="dxa"/>
        </w:trPr>
        <w:tc>
          <w:tcPr>
            <w:tcW w:w="2595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proofErr w:type="spellStart"/>
            <w:r w:rsidRPr="00A7245F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Худилайнен</w:t>
            </w:r>
            <w:proofErr w:type="spellEnd"/>
          </w:p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Александр Петрович</w:t>
            </w:r>
          </w:p>
        </w:tc>
        <w:tc>
          <w:tcPr>
            <w:tcW w:w="150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95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Глава Республики Карелия - Председатель Комиссии по координации работы по противодействию коррупции в Республике Карелия</w:t>
            </w:r>
          </w:p>
        </w:tc>
      </w:tr>
      <w:tr w:rsidR="00A7245F" w:rsidRPr="00A7245F" w:rsidTr="00A7245F">
        <w:trPr>
          <w:tblCellSpacing w:w="0" w:type="dxa"/>
        </w:trPr>
        <w:tc>
          <w:tcPr>
            <w:tcW w:w="2595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Галкин</w:t>
            </w:r>
          </w:p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Виталий Анатольевич</w:t>
            </w:r>
          </w:p>
        </w:tc>
        <w:tc>
          <w:tcPr>
            <w:tcW w:w="150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95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Председатель Государственного контрольного комитета Республики Карелия</w:t>
            </w:r>
          </w:p>
        </w:tc>
      </w:tr>
    </w:tbl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Решили:</w:t>
      </w:r>
    </w:p>
    <w:p w:rsidR="00A7245F" w:rsidRPr="00A7245F" w:rsidRDefault="00A7245F" w:rsidP="00A7245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Утвердить план работы Комиссии на 2016 год.</w:t>
      </w:r>
    </w:p>
    <w:p w:rsidR="00A7245F" w:rsidRPr="00A7245F" w:rsidRDefault="00A7245F" w:rsidP="00A7245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Государственному контрольному комитету Республики Карелия обеспечить в установленные сроки рассылку утвержденного Плана членам Комиссии, руководителям органов исполнительной власти Республики Карелия и органов местного самоуправления в Республике Карелия, иным заинтересованным лицам, </w:t>
      </w: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lastRenderedPageBreak/>
        <w:t xml:space="preserve">а также размещение информации на </w:t>
      </w:r>
      <w:proofErr w:type="gramStart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официальном</w:t>
      </w:r>
      <w:proofErr w:type="gramEnd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интернет-портале Республики Карелия.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u w:val="single"/>
          <w:lang w:eastAsia="ru-RU"/>
        </w:rPr>
        <w:t>Вопрос №4:</w:t>
      </w: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 </w:t>
      </w: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«О мерах по повышению уровня взаимного информирования правоохранительных, контрольных и надзорных органов, исполнительных органов государственной власти и органов местного самоуправления, общественных объединений и осуществлению согласованных действий по предупреждению коррупционных правонарушений».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u w:val="single"/>
          <w:lang w:eastAsia="ru-RU"/>
        </w:rPr>
        <w:t>Выступили:</w:t>
      </w:r>
    </w:p>
    <w:tbl>
      <w:tblPr>
        <w:tblW w:w="957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39"/>
        <w:gridCol w:w="292"/>
        <w:gridCol w:w="6539"/>
      </w:tblGrid>
      <w:tr w:rsidR="00A7245F" w:rsidRPr="00A7245F" w:rsidTr="00A7245F">
        <w:trPr>
          <w:tblCellSpacing w:w="0" w:type="dxa"/>
        </w:trPr>
        <w:tc>
          <w:tcPr>
            <w:tcW w:w="2595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proofErr w:type="spellStart"/>
            <w:r w:rsidRPr="00A7245F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Худилайнен</w:t>
            </w:r>
            <w:proofErr w:type="spellEnd"/>
          </w:p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Александр Петрович</w:t>
            </w:r>
          </w:p>
        </w:tc>
        <w:tc>
          <w:tcPr>
            <w:tcW w:w="150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95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Глава Республики Карелия - Председатель Комиссии по координации работы по противодействию коррупции в Республике Карелия</w:t>
            </w:r>
          </w:p>
        </w:tc>
      </w:tr>
      <w:tr w:rsidR="00A7245F" w:rsidRPr="00A7245F" w:rsidTr="00A7245F">
        <w:trPr>
          <w:tblCellSpacing w:w="0" w:type="dxa"/>
        </w:trPr>
        <w:tc>
          <w:tcPr>
            <w:tcW w:w="2595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Галкин</w:t>
            </w:r>
          </w:p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Виталий Анатольевич</w:t>
            </w:r>
          </w:p>
        </w:tc>
        <w:tc>
          <w:tcPr>
            <w:tcW w:w="150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95" w:type="dxa"/>
            <w:shd w:val="clear" w:color="auto" w:fill="FFFFFF"/>
            <w:hideMark/>
          </w:tcPr>
          <w:p w:rsidR="00A7245F" w:rsidRPr="00A7245F" w:rsidRDefault="00A7245F" w:rsidP="00A7245F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A7245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Председатель Государственного контрольного комитета Республики Карелия</w:t>
            </w:r>
          </w:p>
        </w:tc>
      </w:tr>
    </w:tbl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u w:val="single"/>
          <w:lang w:eastAsia="ru-RU"/>
        </w:rPr>
        <w:t>Решили</w:t>
      </w:r>
      <w:proofErr w:type="gramStart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 </w:t>
      </w: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:</w:t>
      </w:r>
      <w:proofErr w:type="gramEnd"/>
    </w:p>
    <w:p w:rsidR="00A7245F" w:rsidRPr="00A7245F" w:rsidRDefault="00A7245F" w:rsidP="00A7245F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 соответствии с Протоколом №15 от 12.11.2015 г. заседания Координационного совета по кадровым вопросам, государственным наградам и государственной службе всем заинтересованным сторонам принять меры по повышению уровня взаимного информирования и осуществлению согласованных действий по предупреждению коррупционных и иных правонарушений в Республике Карелия.</w:t>
      </w:r>
    </w:p>
    <w:p w:rsidR="00A7245F" w:rsidRPr="00A7245F" w:rsidRDefault="00A7245F" w:rsidP="00A7245F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Проанализировать необходимость принятия дополнительных мер по усилению информационного взаимодействия, осуществлению регулярного обмена информацией по вопросам противодействия коррупционным правонарушениям между правоохранительными, контрольными и надзорными органами, органами исполнительной власти Республики Карелия, органами местного самоуправления и общественными объединениями в Республике Карелия, в том числе посредством заключения соглашений о сотрудничестве.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Ответственные исполнители:</w:t>
      </w: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 </w:t>
      </w:r>
      <w:proofErr w:type="gramStart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СУ СК РФ по Республике Карелия, МВД по Республике Карелия, УФСБ России по Республике Карелия,</w:t>
      </w: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 </w:t>
      </w: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прокуратура Республики Карелия, УФАС России по Республике Карелия, УФНС России по Республике Карелия, ТУ </w:t>
      </w:r>
      <w:proofErr w:type="spellStart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Росфиннадзора</w:t>
      </w:r>
      <w:proofErr w:type="spellEnd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 Республике Карелия, ТУ </w:t>
      </w:r>
      <w:proofErr w:type="spellStart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Росимущества</w:t>
      </w:r>
      <w:proofErr w:type="spellEnd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по Республике Карелия, Государственный комитет Республики Карелия по управлению государственным имуществом и организации закупок, Государственный контрольный комитет Республики Карелия.</w:t>
      </w:r>
      <w:proofErr w:type="gramEnd"/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Срок: до 25 марта 2016 года.</w:t>
      </w:r>
    </w:p>
    <w:p w:rsidR="00A7245F" w:rsidRPr="00A7245F" w:rsidRDefault="00A7245F" w:rsidP="00A7245F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Государственному контрольному комитету Республики Карелия подготовить проект Соглашения о межведомственном сотрудничестве с правоохранительными, контрольными и надзорными органами, общественными объединениями в целях осуществления скоординированных действий по предупреждению коррупционных правонарушений.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Срок: апрель 2016 года.</w:t>
      </w:r>
    </w:p>
    <w:p w:rsidR="00A7245F" w:rsidRPr="00A7245F" w:rsidRDefault="00A7245F" w:rsidP="00A7245F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gramStart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Руководителям правоохранительных, контрольных и надзорных органов, органов исполнительной власти Республики Карелия и органов местного самоуправления в Республике Карелия контролировать исполнение каждого внесенного в порядке ч. 2 ст. 158 УПК РФ по уголовным делам о преступлениях коррупционной направленности представления о принятии мер по устранению обстоятельств, способствовавших совершению преступления, добиваться исполнения всех </w:t>
      </w: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lastRenderedPageBreak/>
        <w:t>указанных в нем требований и получения (предоставления) исчерпывающего ответа.</w:t>
      </w:r>
      <w:proofErr w:type="gramEnd"/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Ответственные исполнители:</w:t>
      </w: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 </w:t>
      </w:r>
      <w:proofErr w:type="gramStart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СУ СК РФ по Республике Карелия, МВД по Республике Карелия, УФСБ России по Республике Карелия,</w:t>
      </w: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 </w:t>
      </w: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прокуратура Республики Карелия, УФАС России по Республике Карелия, УФНС России по Республике Карелия, ТУ </w:t>
      </w:r>
      <w:proofErr w:type="spellStart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Росфиннадзора</w:t>
      </w:r>
      <w:proofErr w:type="spellEnd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 Республике Карелия, ТУ </w:t>
      </w:r>
      <w:proofErr w:type="spellStart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Росимущества</w:t>
      </w:r>
      <w:proofErr w:type="spellEnd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по Республике Карелия, Государственный комитет Республики Карелия по управлению государственным имуществом и организации закупок, Государственный контрольный комитет Республики Карелия, органы местного самоуправления в Республике Карелия</w:t>
      </w:r>
      <w:proofErr w:type="gramEnd"/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Срок: 2016 год </w:t>
      </w: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(с ежеквартальным направлением информации в Государственный контрольный комитет Республики Карелия, </w:t>
      </w: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 xml:space="preserve">до 5 числа месяца, следующего </w:t>
      </w:r>
      <w:proofErr w:type="gramStart"/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за</w:t>
      </w:r>
      <w:proofErr w:type="gramEnd"/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 xml:space="preserve"> отчетным</w:t>
      </w: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).</w:t>
      </w:r>
    </w:p>
    <w:p w:rsidR="00A7245F" w:rsidRPr="00A7245F" w:rsidRDefault="00A7245F" w:rsidP="00A7245F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Рекомендовать Государственному контрольному комитету Республики Карелия подготовить предложения по формированию рабочих групп в рамках работы Комиссии и определить наиболее важные направления антикоррупционной деятельности в рамках таких групп.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Срок: март 2016 года</w:t>
      </w:r>
    </w:p>
    <w:p w:rsidR="00A7245F" w:rsidRPr="00A7245F" w:rsidRDefault="00A7245F" w:rsidP="00A7245F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Рекомендовать органам исполнительной власти Республики Карелия, территориальным органам федеральных органов исполнительной власти в Республике Карелия, органам местного самоуправления, осуществляющим контрольно-надзорные полномочия в установленных сферах деятельности представлять в Комиссию статистическую и аналитическую информацию по результатам такой деятельности.</w:t>
      </w:r>
    </w:p>
    <w:p w:rsidR="00A7245F" w:rsidRPr="00A7245F" w:rsidRDefault="00A7245F" w:rsidP="00A7245F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 xml:space="preserve">Срок: ежеквартально, до 5 числа месяца, следующего за </w:t>
      </w:r>
      <w:proofErr w:type="gramStart"/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отчетным</w:t>
      </w:r>
      <w:proofErr w:type="gramEnd"/>
      <w:r w:rsidRPr="00A7245F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.</w:t>
      </w:r>
    </w:p>
    <w:p w:rsidR="00A7245F" w:rsidRDefault="00A7245F">
      <w:bookmarkStart w:id="0" w:name="_GoBack"/>
      <w:bookmarkEnd w:id="0"/>
    </w:p>
    <w:sectPr w:rsidR="00A7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42E"/>
    <w:multiLevelType w:val="multilevel"/>
    <w:tmpl w:val="65DAC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E39D1"/>
    <w:multiLevelType w:val="multilevel"/>
    <w:tmpl w:val="91B696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665D9E"/>
    <w:multiLevelType w:val="multilevel"/>
    <w:tmpl w:val="999EB5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7D7253"/>
    <w:multiLevelType w:val="multilevel"/>
    <w:tmpl w:val="4092B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AE39FE"/>
    <w:multiLevelType w:val="multilevel"/>
    <w:tmpl w:val="23B434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130950"/>
    <w:multiLevelType w:val="multilevel"/>
    <w:tmpl w:val="FBD26C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2845A4"/>
    <w:multiLevelType w:val="multilevel"/>
    <w:tmpl w:val="D460DD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8D3662"/>
    <w:multiLevelType w:val="multilevel"/>
    <w:tmpl w:val="295AAC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82310B"/>
    <w:multiLevelType w:val="multilevel"/>
    <w:tmpl w:val="573AD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7D26F1"/>
    <w:multiLevelType w:val="multilevel"/>
    <w:tmpl w:val="3E9064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937BBF"/>
    <w:multiLevelType w:val="multilevel"/>
    <w:tmpl w:val="2ED63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132366"/>
    <w:multiLevelType w:val="multilevel"/>
    <w:tmpl w:val="6E9A89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0B1911"/>
    <w:multiLevelType w:val="multilevel"/>
    <w:tmpl w:val="B28050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B04C1A"/>
    <w:multiLevelType w:val="multilevel"/>
    <w:tmpl w:val="8ECCB7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0408F4"/>
    <w:multiLevelType w:val="multilevel"/>
    <w:tmpl w:val="57F0E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0"/>
  </w:num>
  <w:num w:numId="5">
    <w:abstractNumId w:val="1"/>
  </w:num>
  <w:num w:numId="6">
    <w:abstractNumId w:val="13"/>
  </w:num>
  <w:num w:numId="7">
    <w:abstractNumId w:val="4"/>
  </w:num>
  <w:num w:numId="8">
    <w:abstractNumId w:val="12"/>
  </w:num>
  <w:num w:numId="9">
    <w:abstractNumId w:val="9"/>
  </w:num>
  <w:num w:numId="10">
    <w:abstractNumId w:val="10"/>
  </w:num>
  <w:num w:numId="11">
    <w:abstractNumId w:val="5"/>
  </w:num>
  <w:num w:numId="12">
    <w:abstractNumId w:val="6"/>
  </w:num>
  <w:num w:numId="13">
    <w:abstractNumId w:val="7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5F"/>
    <w:rsid w:val="00A7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A7245F"/>
  </w:style>
  <w:style w:type="paragraph" w:styleId="a3">
    <w:name w:val="Normal (Web)"/>
    <w:basedOn w:val="a"/>
    <w:uiPriority w:val="99"/>
    <w:unhideWhenUsed/>
    <w:rsid w:val="00A72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7245F"/>
    <w:rPr>
      <w:i/>
      <w:iCs/>
    </w:rPr>
  </w:style>
  <w:style w:type="character" w:styleId="a5">
    <w:name w:val="Strong"/>
    <w:basedOn w:val="a0"/>
    <w:uiPriority w:val="22"/>
    <w:qFormat/>
    <w:rsid w:val="00A724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A7245F"/>
  </w:style>
  <w:style w:type="paragraph" w:styleId="a3">
    <w:name w:val="Normal (Web)"/>
    <w:basedOn w:val="a"/>
    <w:uiPriority w:val="99"/>
    <w:unhideWhenUsed/>
    <w:rsid w:val="00A72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7245F"/>
    <w:rPr>
      <w:i/>
      <w:iCs/>
    </w:rPr>
  </w:style>
  <w:style w:type="character" w:styleId="a5">
    <w:name w:val="Strong"/>
    <w:basedOn w:val="a0"/>
    <w:uiPriority w:val="22"/>
    <w:qFormat/>
    <w:rsid w:val="00A724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vfrolov</dc:creator>
  <cp:lastModifiedBy>vfrolov</cp:lastModifiedBy>
  <cp:revision>1</cp:revision>
  <dcterms:created xsi:type="dcterms:W3CDTF">2019-03-27T12:49:00Z</dcterms:created>
  <dcterms:modified xsi:type="dcterms:W3CDTF">2019-03-27T12:50:00Z</dcterms:modified>
</cp:coreProperties>
</file>