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5"/>
        <w:gridCol w:w="300"/>
      </w:tblGrid>
      <w:tr w:rsidR="00EC2EA3" w:rsidRPr="00EC2EA3" w:rsidTr="00EC2EA3">
        <w:trPr>
          <w:tblCellSpacing w:w="0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EC2EA3" w:rsidRPr="00EC2EA3" w:rsidRDefault="00EC2EA3" w:rsidP="00EC2EA3">
            <w:pPr>
              <w:spacing w:before="100" w:beforeAutospacing="1" w:after="100" w:afterAutospacing="1" w:line="240" w:lineRule="auto"/>
              <w:jc w:val="righ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bookmarkStart w:id="0" w:name="_GoBack"/>
            <w:proofErr w:type="spellStart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г</w:t>
            </w:r>
            <w:proofErr w:type="gramStart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.П</w:t>
            </w:r>
            <w:proofErr w:type="gramEnd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етрозаводск</w:t>
            </w:r>
            <w:proofErr w:type="spellEnd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br/>
              <w:t>24 декабря 2014 года</w:t>
            </w:r>
          </w:p>
          <w:bookmarkEnd w:id="0"/>
          <w:p w:rsidR="00EC2EA3" w:rsidRPr="00EC2EA3" w:rsidRDefault="00EC2EA3" w:rsidP="00EC2EA3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EC2EA3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Председательствовал:</w:t>
            </w:r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 Заместитель Главы Республики Карелия по развитию инфраструктуры</w:t>
            </w:r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br/>
              <w:t>Тельнов Олег Владимирович</w:t>
            </w:r>
          </w:p>
          <w:p w:rsidR="00EC2EA3" w:rsidRPr="00EC2EA3" w:rsidRDefault="00EC2EA3" w:rsidP="00EC2EA3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EC2EA3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Присутствовали:</w:t>
            </w:r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br/>
            </w:r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br/>
              <w:t>Члены комиссии:</w:t>
            </w:r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br/>
            </w:r>
            <w:proofErr w:type="spellStart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Бакунович</w:t>
            </w:r>
            <w:proofErr w:type="spellEnd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И.В., </w:t>
            </w:r>
            <w:proofErr w:type="spellStart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Баскин</w:t>
            </w:r>
            <w:proofErr w:type="spellEnd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В.А., Галактионов Э.И., </w:t>
            </w:r>
            <w:proofErr w:type="spellStart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Галашева</w:t>
            </w:r>
            <w:proofErr w:type="spellEnd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С.В., Горелова И.Н., Жданович С.А., </w:t>
            </w:r>
            <w:proofErr w:type="spellStart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Жураховская</w:t>
            </w:r>
            <w:proofErr w:type="spellEnd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Т.В., </w:t>
            </w:r>
            <w:proofErr w:type="spellStart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Игнатик</w:t>
            </w:r>
            <w:proofErr w:type="spellEnd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Н.А., </w:t>
            </w:r>
            <w:proofErr w:type="spellStart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Мурый</w:t>
            </w:r>
            <w:proofErr w:type="spellEnd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В.Д., Никифоров Д.А., Никифорова Л.А., </w:t>
            </w:r>
            <w:proofErr w:type="spellStart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Рузанова</w:t>
            </w:r>
            <w:proofErr w:type="spellEnd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Н.С., </w:t>
            </w:r>
            <w:proofErr w:type="spellStart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Саламахина</w:t>
            </w:r>
            <w:proofErr w:type="spellEnd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Л.Г., Чеканов А.Н., Шорохов Е.А.</w:t>
            </w:r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br/>
              <w:t>Приглашенные:</w:t>
            </w:r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Гринкевич</w:t>
            </w:r>
            <w:proofErr w:type="spellEnd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Е.Ю., Демидова Н.В., Дяченко Д.А., Заречный С.С., Захарова Т.Ю., </w:t>
            </w:r>
            <w:proofErr w:type="spellStart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Ишукова</w:t>
            </w:r>
            <w:proofErr w:type="spellEnd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Е.В., </w:t>
            </w:r>
            <w:proofErr w:type="spellStart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Кантышев</w:t>
            </w:r>
            <w:proofErr w:type="spellEnd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А.В., Квасников А.И., Ковалев М.Н., </w:t>
            </w:r>
            <w:proofErr w:type="spellStart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Кондрашин</w:t>
            </w:r>
            <w:proofErr w:type="spellEnd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Д.С., </w:t>
            </w:r>
            <w:proofErr w:type="spellStart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Коннов</w:t>
            </w:r>
            <w:proofErr w:type="spellEnd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П.Г., Кудряшова С.В., Леонидова Т.В., Лялина Ю.А., </w:t>
            </w:r>
            <w:proofErr w:type="spellStart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Марахтанов</w:t>
            </w:r>
            <w:proofErr w:type="spellEnd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А.Г., </w:t>
            </w:r>
            <w:proofErr w:type="spellStart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Матвиюк</w:t>
            </w:r>
            <w:proofErr w:type="spellEnd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А.К., Минкин Е.И., Неповинная Я.Я., Николин М.И., Потехина Ю.А.</w:t>
            </w:r>
            <w:proofErr w:type="gramEnd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Риммер</w:t>
            </w:r>
            <w:proofErr w:type="spellEnd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Л.А., Саблина З.П., Сачков А.П., </w:t>
            </w:r>
            <w:proofErr w:type="spellStart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Сивин</w:t>
            </w:r>
            <w:proofErr w:type="spellEnd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И.А., Смирнова Э.И., Сорокин А.С., </w:t>
            </w:r>
            <w:proofErr w:type="spellStart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Толпеев</w:t>
            </w:r>
            <w:proofErr w:type="spellEnd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А.П., Харина Т.Н.,</w:t>
            </w:r>
          </w:p>
          <w:p w:rsidR="00EC2EA3" w:rsidRPr="00EC2EA3" w:rsidRDefault="00EC2EA3" w:rsidP="00EC2EA3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EC2EA3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I. Об организации предоставления государственных и муниципальных услуг по принципу «одного окна» в Республике Карелия</w:t>
            </w:r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br/>
              <w:t>(Никифоров, Чеканов)</w:t>
            </w:r>
          </w:p>
          <w:p w:rsidR="00EC2EA3" w:rsidRPr="00EC2EA3" w:rsidRDefault="00EC2EA3" w:rsidP="00EC2EA3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1</w:t>
            </w:r>
            <w:proofErr w:type="gramStart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ринять к сведению информацию Государственного комитета Республики Карелия по развитию информационно-коммуникационных технологий (Д.А. Никифоров) по данному вопросу.</w:t>
            </w:r>
          </w:p>
          <w:p w:rsidR="00EC2EA3" w:rsidRPr="00EC2EA3" w:rsidRDefault="00EC2EA3" w:rsidP="00EC2EA3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2</w:t>
            </w:r>
            <w:proofErr w:type="gramStart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ринять к сведению информацию ГБУ РК «Многофункциональный центр Республики Карелия» (А.Н. Чеканов) по данному вопросу.</w:t>
            </w:r>
          </w:p>
          <w:p w:rsidR="00EC2EA3" w:rsidRPr="00EC2EA3" w:rsidRDefault="00EC2EA3" w:rsidP="00EC2EA3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3</w:t>
            </w:r>
            <w:proofErr w:type="gramStart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О</w:t>
            </w:r>
            <w:proofErr w:type="gramEnd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добрить:</w:t>
            </w:r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br/>
              <w:t>- План-график внедрения единого фирменного стиля в отделах предоставления услуг (МФЦ) и территориально обособленных структурных подразделениях (ТОСП) ГБУ РК «Многофункциональный центр Республики Карелия» в 2014-2015 гг.</w:t>
            </w:r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br/>
              <w:t>- График организации предоставления государственных и муниципальных услуг (план ввода новых услуг) в ГБУ РК «Многофункциональный центр Республики Карелия» в 2015 году.</w:t>
            </w:r>
          </w:p>
          <w:p w:rsidR="00EC2EA3" w:rsidRPr="00EC2EA3" w:rsidRDefault="00EC2EA3" w:rsidP="00EC2EA3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1. </w:t>
            </w:r>
            <w:proofErr w:type="gramStart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В срок до 25 января 2015 года Государственному комитету Республики Карелия по развитию информационно-коммуникационных технологий организовать проведение совещания с Министерством экономического развития Республики Карелия и Государственным комитетом Республики Карелия по взаимодействию с органами местного самоуправления при заместителе Главы Республики Карелия по развитию инфраструктуры О.В. Тельнове по вопросу предоставления государственных и муниципальных услуг в Республике Карелия по принципу «одного окна</w:t>
            </w:r>
            <w:proofErr w:type="gramEnd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».</w:t>
            </w:r>
          </w:p>
          <w:p w:rsidR="00EC2EA3" w:rsidRPr="00EC2EA3" w:rsidRDefault="00EC2EA3" w:rsidP="00EC2EA3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EC2EA3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II. О рассмотрении проекта «Стратегии информатизации Республики Карелия»</w:t>
            </w:r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br/>
              <w:t>(Никифоров)</w:t>
            </w:r>
          </w:p>
          <w:p w:rsidR="00EC2EA3" w:rsidRPr="00EC2EA3" w:rsidRDefault="00EC2EA3" w:rsidP="00EC2EA3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1. Принять к сведению информацию Государственного комитета Республики Карелия по развитию информационно-коммуникационных технологий (Д.А. Никифоров) по данному вопросу.</w:t>
            </w:r>
          </w:p>
          <w:p w:rsidR="00EC2EA3" w:rsidRPr="00EC2EA3" w:rsidRDefault="00EC2EA3" w:rsidP="00EC2EA3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2. В срок до 20 января 2015 года органам исполнительной власти Республики Карелия, членам Комиссии по развитию информационного общества и формированию электронного правительства, по повышению качества и доступности </w:t>
            </w:r>
            <w:proofErr w:type="gramStart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предоставления</w:t>
            </w:r>
            <w:proofErr w:type="gramEnd"/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государственных и муниципальных услуг в Республике Карелия направить предложения по доработке проекта «Стратегии развития информатизации Республики Карелия» в Государственный комитет Республики Карелия по развитию информационно-коммуникационных технологий.</w:t>
            </w:r>
          </w:p>
          <w:p w:rsidR="00EC2EA3" w:rsidRPr="00EC2EA3" w:rsidRDefault="00EC2EA3" w:rsidP="00EC2EA3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3. Одобрить проект «Стратегии развития информатизации Республики Карелия» с учетом </w:t>
            </w:r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lastRenderedPageBreak/>
              <w:t>предложений, направленных в адрес Государственного комитета Республики Карелия по развитию информационно-коммуникационных технологий.</w:t>
            </w:r>
          </w:p>
          <w:p w:rsidR="00EC2EA3" w:rsidRPr="00EC2EA3" w:rsidRDefault="00EC2EA3" w:rsidP="00EC2EA3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EC2EA3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III. О рассмотрении и одобрении проекта Плана мероприятий («дорожной карты») по развитию и сопровождению единой системы электронного документооборота и делопроизводства «Дело» в органах исполнительной власти Республики Карелия</w:t>
            </w:r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br/>
              <w:t>(Никифоров)</w:t>
            </w:r>
          </w:p>
          <w:p w:rsidR="00EC2EA3" w:rsidRPr="00EC2EA3" w:rsidRDefault="00EC2EA3" w:rsidP="00EC2EA3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1. Принять к сведению информацию Государственного комитета Республики Карелия по развитию информационно-коммуникационных технологий (Д.А. Никифоров) по данному вопросу.</w:t>
            </w:r>
          </w:p>
          <w:p w:rsidR="00EC2EA3" w:rsidRPr="00EC2EA3" w:rsidRDefault="00EC2EA3" w:rsidP="00EC2EA3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2. Одобрить проект Плана мероприятий («дорожной карты») по развитию и сопровождению единой системы электронного документооборота и делопроизводства «Дело» (далее – ЕСЭДД) в органах исполнительной власти Республики Карелия.</w:t>
            </w:r>
          </w:p>
          <w:p w:rsidR="00EC2EA3" w:rsidRPr="00EC2EA3" w:rsidRDefault="00EC2EA3" w:rsidP="00EC2EA3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3. Органам исполнительной власти Республики Карелия осуществлять работу в ЕСЭДД в соответствии с регламентом, утвержденным постановлением Правительства РК от 6 декабря 2013 № 354-П "О Регламенте работы в Единой системе электронного документооборота и делопроизводства "Дело".</w:t>
            </w:r>
          </w:p>
          <w:p w:rsidR="00EC2EA3" w:rsidRPr="00EC2EA3" w:rsidRDefault="00EC2EA3" w:rsidP="00EC2EA3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4. В срок до 16 февраля 2015 года Государственному комитету Республики Карелия по развитию информационно-коммуникационных технологий провести мониторинг работы органов исполнительной власти Республики Карелия в ЕСЭДД на соответствие регламенту, утвержденному постановлением Правительства РК от 6 декабря 2013 года № 354-П "О Регламенте работы в Единой системе электронного документооборота и делопроизводства "Дело".</w:t>
            </w:r>
          </w:p>
          <w:p w:rsidR="00EC2EA3" w:rsidRPr="00EC2EA3" w:rsidRDefault="00EC2EA3" w:rsidP="00EC2EA3">
            <w:pPr>
              <w:spacing w:before="100" w:beforeAutospacing="1" w:after="100" w:afterAutospacing="1" w:line="240" w:lineRule="auto"/>
              <w:jc w:val="righ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Заместитель Главы Республики Карелия –</w:t>
            </w:r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br/>
              <w:t>по развитию инфраструктуры</w:t>
            </w:r>
            <w:r w:rsidRPr="00EC2EA3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br/>
              <w:t>О.В. Тельнов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27"/>
              <w:gridCol w:w="4528"/>
            </w:tblGrid>
            <w:tr w:rsidR="00EC2EA3" w:rsidRPr="00EC2EA3" w:rsidTr="00EC2EA3">
              <w:trPr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EC2EA3" w:rsidRPr="00EC2EA3" w:rsidRDefault="00EC2EA3" w:rsidP="00EC2EA3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283555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p w:rsidR="00EC2EA3" w:rsidRPr="00EC2EA3" w:rsidRDefault="00EC2EA3" w:rsidP="00EC2EA3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283555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EC2EA3">
                      <w:rPr>
                        <w:rFonts w:ascii="Arial CYR" w:eastAsia="Times New Roman" w:hAnsi="Arial CYR" w:cs="Arial CYR"/>
                        <w:color w:val="105198"/>
                        <w:sz w:val="18"/>
                        <w:szCs w:val="18"/>
                        <w:lang w:eastAsia="ru-RU"/>
                      </w:rPr>
                      <w:br/>
                    </w:r>
                  </w:hyperlink>
                </w:p>
              </w:tc>
            </w:tr>
          </w:tbl>
          <w:p w:rsidR="00EC2EA3" w:rsidRPr="00EC2EA3" w:rsidRDefault="00EC2EA3" w:rsidP="00EC2EA3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2EA3" w:rsidRPr="00EC2EA3" w:rsidRDefault="00EC2EA3" w:rsidP="00EC2EA3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color w:val="283555"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190500" cy="9525"/>
                  <wp:effectExtent l="0" t="0" r="0" b="0"/>
                  <wp:docPr id="1" name="Рисунок 1" descr="http://old.gov.karelia.ru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ld.gov.karelia.ru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361F" w:rsidRPr="00EC2EA3" w:rsidRDefault="00E7361F" w:rsidP="00EC2EA3"/>
    <w:sectPr w:rsidR="00E7361F" w:rsidRPr="00EC2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0F0A"/>
    <w:multiLevelType w:val="multilevel"/>
    <w:tmpl w:val="4B0C6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D44BD"/>
    <w:multiLevelType w:val="multilevel"/>
    <w:tmpl w:val="984C40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7706D7"/>
    <w:multiLevelType w:val="multilevel"/>
    <w:tmpl w:val="093CB8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B693106"/>
    <w:multiLevelType w:val="multilevel"/>
    <w:tmpl w:val="CE18F06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5A8B40E1"/>
    <w:multiLevelType w:val="multilevel"/>
    <w:tmpl w:val="861EC19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4C"/>
    <w:rsid w:val="001F0537"/>
    <w:rsid w:val="00B63D4C"/>
    <w:rsid w:val="00E7361F"/>
    <w:rsid w:val="00EC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1F0537"/>
  </w:style>
  <w:style w:type="paragraph" w:styleId="a3">
    <w:name w:val="Normal (Web)"/>
    <w:basedOn w:val="a"/>
    <w:uiPriority w:val="99"/>
    <w:unhideWhenUsed/>
    <w:rsid w:val="001F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5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1F0537"/>
  </w:style>
  <w:style w:type="paragraph" w:styleId="a3">
    <w:name w:val="Normal (Web)"/>
    <w:basedOn w:val="a"/>
    <w:uiPriority w:val="99"/>
    <w:unhideWhenUsed/>
    <w:rsid w:val="001F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5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7772">
          <w:marLeft w:val="0"/>
          <w:marRight w:val="0"/>
          <w:marTop w:val="150"/>
          <w:marBottom w:val="0"/>
          <w:divBdr>
            <w:top w:val="dashed" w:sz="6" w:space="8" w:color="C5CDD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bd-memori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Д. Марьин</dc:creator>
  <cp:lastModifiedBy>Николай Д. Марьин</cp:lastModifiedBy>
  <cp:revision>3</cp:revision>
  <dcterms:created xsi:type="dcterms:W3CDTF">2019-10-14T12:51:00Z</dcterms:created>
  <dcterms:modified xsi:type="dcterms:W3CDTF">2019-10-14T13:16:00Z</dcterms:modified>
</cp:coreProperties>
</file>